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83" w:rsidRPr="00F44576" w:rsidRDefault="00F44576" w:rsidP="00F44576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F44576">
        <w:rPr>
          <w:rFonts w:ascii="Times New Roman" w:hAnsi="Times New Roman" w:cs="Times New Roman"/>
          <w:b/>
          <w:sz w:val="28"/>
          <w:szCs w:val="24"/>
        </w:rPr>
        <w:t>Jaz</w:t>
      </w:r>
      <w:proofErr w:type="spellEnd"/>
      <w:r w:rsidRPr="00F44576">
        <w:rPr>
          <w:rFonts w:ascii="Times New Roman" w:hAnsi="Times New Roman" w:cs="Times New Roman"/>
          <w:b/>
          <w:sz w:val="28"/>
          <w:szCs w:val="24"/>
        </w:rPr>
        <w:t>. 9/</w:t>
      </w:r>
      <w:r w:rsidR="00EE39BE" w:rsidRPr="00F44576">
        <w:rPr>
          <w:rFonts w:ascii="Times New Roman" w:hAnsi="Times New Roman" w:cs="Times New Roman"/>
          <w:b/>
          <w:sz w:val="28"/>
          <w:szCs w:val="24"/>
        </w:rPr>
        <w:t>2. Jazyk a promluva. Paradigmatické a syntagmatické vztahy.</w:t>
      </w:r>
    </w:p>
    <w:p w:rsidR="00C825CD" w:rsidRPr="00F44576" w:rsidRDefault="00C825CD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4576" w:rsidRPr="00F44576" w:rsidRDefault="00F44576" w:rsidP="00F44576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F44576">
        <w:rPr>
          <w:rFonts w:ascii="Times New Roman" w:hAnsi="Times New Roman" w:cs="Times New Roman"/>
          <w:b/>
          <w:sz w:val="28"/>
          <w:szCs w:val="24"/>
        </w:rPr>
        <w:t>JAZYK A PROMLUVA</w:t>
      </w:r>
    </w:p>
    <w:p w:rsidR="00F44576" w:rsidRPr="00F44576" w:rsidRDefault="00F44576" w:rsidP="00F44576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401D97" w:rsidRPr="00F44576" w:rsidRDefault="00401D97" w:rsidP="00F44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4576">
        <w:rPr>
          <w:rFonts w:ascii="Times New Roman" w:hAnsi="Times New Roman" w:cs="Times New Roman"/>
          <w:b/>
          <w:sz w:val="24"/>
          <w:szCs w:val="24"/>
        </w:rPr>
        <w:t>Jazyk</w:t>
      </w:r>
    </w:p>
    <w:p w:rsidR="00401D97" w:rsidRPr="00F44576" w:rsidRDefault="00401D97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= soustava vyjadřovacích prostředků, sloužící určitému společenství jako nástroj k dorozumívání, myšlení a fixování poznatku</w:t>
      </w:r>
    </w:p>
    <w:p w:rsidR="00401D97" w:rsidRDefault="00401D97" w:rsidP="00F44576">
      <w:pPr>
        <w:pStyle w:val="Odstavecseseznamem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mnoho pohledů a definic</w:t>
      </w:r>
    </w:p>
    <w:p w:rsidR="00F44576" w:rsidRPr="00F44576" w:rsidRDefault="00F44576" w:rsidP="00F44576">
      <w:pPr>
        <w:pStyle w:val="Odstavecseseznamem"/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401D97" w:rsidRPr="00F44576" w:rsidRDefault="00401D97" w:rsidP="00F44576">
      <w:pPr>
        <w:pStyle w:val="Odstavecseseznamem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i/>
          <w:sz w:val="24"/>
          <w:szCs w:val="24"/>
        </w:rPr>
        <w:t xml:space="preserve">Ferdinand de </w:t>
      </w:r>
      <w:proofErr w:type="spellStart"/>
      <w:r w:rsidRPr="00F44576">
        <w:rPr>
          <w:rFonts w:ascii="Times New Roman" w:hAnsi="Times New Roman" w:cs="Times New Roman"/>
          <w:i/>
          <w:sz w:val="24"/>
          <w:szCs w:val="24"/>
        </w:rPr>
        <w:t>Saussure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>: jazyk má dvě složky:</w:t>
      </w:r>
    </w:p>
    <w:p w:rsidR="00401D97" w:rsidRPr="00F44576" w:rsidRDefault="00401D97" w:rsidP="00F44576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44576">
        <w:rPr>
          <w:rFonts w:ascii="Times New Roman" w:hAnsi="Times New Roman" w:cs="Times New Roman"/>
          <w:b/>
          <w:sz w:val="24"/>
          <w:szCs w:val="24"/>
        </w:rPr>
        <w:t>langue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 xml:space="preserve"> - abstraktní, neuchopitelný systém, inventář jednotek, struktura jejich vztah</w:t>
      </w:r>
      <w:r w:rsidR="00F44576">
        <w:rPr>
          <w:rFonts w:ascii="Times New Roman" w:hAnsi="Times New Roman" w:cs="Times New Roman"/>
          <w:sz w:val="24"/>
          <w:szCs w:val="24"/>
        </w:rPr>
        <w:t>ů</w:t>
      </w:r>
      <w:r w:rsidRPr="00F44576">
        <w:rPr>
          <w:rFonts w:ascii="Times New Roman" w:hAnsi="Times New Roman" w:cs="Times New Roman"/>
          <w:sz w:val="24"/>
          <w:szCs w:val="24"/>
        </w:rPr>
        <w:t xml:space="preserve"> v jazykovém systému a pravidla jejich kombinací</w:t>
      </w:r>
    </w:p>
    <w:p w:rsidR="00401D97" w:rsidRPr="00F44576" w:rsidRDefault="00401D97" w:rsidP="00F44576">
      <w:pPr>
        <w:pStyle w:val="Odstavecseseznamem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b/>
          <w:sz w:val="24"/>
          <w:szCs w:val="24"/>
        </w:rPr>
        <w:t>parole</w:t>
      </w:r>
      <w:r w:rsidRPr="00F44576">
        <w:rPr>
          <w:rFonts w:ascii="Times New Roman" w:hAnsi="Times New Roman" w:cs="Times New Roman"/>
          <w:sz w:val="24"/>
          <w:szCs w:val="24"/>
        </w:rPr>
        <w:t xml:space="preserve"> - konkrétní realizace jazykového projevu, užití systému (řečová činnost mluvená i psaná)</w:t>
      </w:r>
    </w:p>
    <w:p w:rsidR="00401D97" w:rsidRPr="00F44576" w:rsidRDefault="00401D97" w:rsidP="00F44576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401D97" w:rsidRPr="00F44576" w:rsidRDefault="00401D97" w:rsidP="00F44576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44576">
        <w:rPr>
          <w:rFonts w:ascii="Times New Roman" w:hAnsi="Times New Roman" w:cs="Times New Roman"/>
          <w:i/>
          <w:sz w:val="24"/>
          <w:szCs w:val="24"/>
        </w:rPr>
        <w:t>Noam</w:t>
      </w:r>
      <w:proofErr w:type="spellEnd"/>
      <w:r w:rsidRPr="00F4457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44576">
        <w:rPr>
          <w:rFonts w:ascii="Times New Roman" w:hAnsi="Times New Roman" w:cs="Times New Roman"/>
          <w:i/>
          <w:sz w:val="24"/>
          <w:szCs w:val="24"/>
        </w:rPr>
        <w:t>Chomsky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>:</w:t>
      </w:r>
    </w:p>
    <w:p w:rsidR="00401D97" w:rsidRPr="00F44576" w:rsidRDefault="00401D97" w:rsidP="00F4457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b/>
          <w:sz w:val="24"/>
          <w:szCs w:val="24"/>
        </w:rPr>
        <w:t>kompetence</w:t>
      </w:r>
      <w:r w:rsidRPr="00F44576">
        <w:rPr>
          <w:rFonts w:ascii="Times New Roman" w:hAnsi="Times New Roman" w:cs="Times New Roman"/>
          <w:sz w:val="24"/>
          <w:szCs w:val="24"/>
        </w:rPr>
        <w:t xml:space="preserve"> - lidská schopnost používat jazyk, znalost inventáře jednotek a pravidel jejich kombinací</w:t>
      </w:r>
    </w:p>
    <w:p w:rsidR="00401D97" w:rsidRPr="00F44576" w:rsidRDefault="00401D97" w:rsidP="00F4457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b/>
          <w:sz w:val="24"/>
          <w:szCs w:val="24"/>
        </w:rPr>
        <w:t>performance</w:t>
      </w:r>
      <w:r w:rsidRPr="00F44576">
        <w:rPr>
          <w:rFonts w:ascii="Times New Roman" w:hAnsi="Times New Roman" w:cs="Times New Roman"/>
          <w:sz w:val="24"/>
          <w:szCs w:val="24"/>
        </w:rPr>
        <w:t xml:space="preserve"> - reálné užití kompetence v konkrétních situacích a tedy veškerý mluvený nebo psaný text</w:t>
      </w:r>
    </w:p>
    <w:p w:rsidR="00401D97" w:rsidRPr="00F44576" w:rsidRDefault="00401D97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D97" w:rsidRPr="00F44576" w:rsidRDefault="00401D97" w:rsidP="00F44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4576">
        <w:rPr>
          <w:rFonts w:ascii="Times New Roman" w:hAnsi="Times New Roman" w:cs="Times New Roman"/>
          <w:b/>
          <w:sz w:val="24"/>
          <w:szCs w:val="24"/>
        </w:rPr>
        <w:t xml:space="preserve">Jazyk </w:t>
      </w:r>
      <w:r w:rsidR="00F44576" w:rsidRPr="00F44576">
        <w:rPr>
          <w:rFonts w:ascii="Times New Roman" w:hAnsi="Times New Roman" w:cs="Times New Roman"/>
          <w:b/>
          <w:sz w:val="24"/>
          <w:szCs w:val="24"/>
        </w:rPr>
        <w:t xml:space="preserve">X </w:t>
      </w:r>
      <w:r w:rsidRPr="00F44576">
        <w:rPr>
          <w:rFonts w:ascii="Times New Roman" w:hAnsi="Times New Roman" w:cs="Times New Roman"/>
          <w:b/>
          <w:sz w:val="24"/>
          <w:szCs w:val="24"/>
        </w:rPr>
        <w:t>promluva</w:t>
      </w:r>
    </w:p>
    <w:p w:rsidR="00401D97" w:rsidRPr="00F44576" w:rsidRDefault="00401D97" w:rsidP="00F44576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v hlavě máme jazykový systém (</w:t>
      </w:r>
      <w:proofErr w:type="spellStart"/>
      <w:r w:rsidRPr="00F44576">
        <w:rPr>
          <w:rFonts w:ascii="Times New Roman" w:hAnsi="Times New Roman" w:cs="Times New Roman"/>
          <w:sz w:val="24"/>
          <w:szCs w:val="24"/>
        </w:rPr>
        <w:t>langue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>), kterým vytváříme promluvy (parole)</w:t>
      </w:r>
    </w:p>
    <w:p w:rsidR="005429AD" w:rsidRPr="00F44576" w:rsidRDefault="005429AD" w:rsidP="00F44576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jazyk a promluva se vzájemně předpokládají: jazyk je nutný k tomu, aby mluva byla srozumitelná a dosáhla všech svých účinků, mluva je zase nutná k tomu, aby se vytvořil jazyk, historicky fakt mluvy vždy předchází</w:t>
      </w:r>
    </w:p>
    <w:p w:rsidR="00416FC7" w:rsidRPr="00F44576" w:rsidRDefault="00416FC7" w:rsidP="00F44576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jazyk sám o sobě není přístupný přímému pozorování, poznáváme ho konkrétními promluvami</w:t>
      </w:r>
    </w:p>
    <w:p w:rsidR="00416FC7" w:rsidRPr="00F44576" w:rsidRDefault="00416FC7" w:rsidP="00F44576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jazyk je kolektivní pro společnost</w:t>
      </w:r>
      <w:r w:rsidR="00401D97" w:rsidRPr="00F44576">
        <w:rPr>
          <w:rFonts w:ascii="Times New Roman" w:hAnsi="Times New Roman" w:cs="Times New Roman"/>
          <w:sz w:val="24"/>
          <w:szCs w:val="24"/>
        </w:rPr>
        <w:t>,</w:t>
      </w:r>
      <w:r w:rsidRPr="00F44576">
        <w:rPr>
          <w:rFonts w:ascii="Times New Roman" w:hAnsi="Times New Roman" w:cs="Times New Roman"/>
          <w:sz w:val="24"/>
          <w:szCs w:val="24"/>
        </w:rPr>
        <w:t xml:space="preserve"> má hierarchizovanou strukturu</w:t>
      </w:r>
    </w:p>
    <w:p w:rsidR="00416FC7" w:rsidRPr="00F44576" w:rsidRDefault="00416FC7" w:rsidP="00F44576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promluva je individuální, je to aktivní činnost jednotlivých lidí, má lineární charakter</w:t>
      </w:r>
    </w:p>
    <w:p w:rsidR="00416FC7" w:rsidRPr="00F44576" w:rsidRDefault="00416FC7" w:rsidP="00F44576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 xml:space="preserve">vztahy na úrovni </w:t>
      </w:r>
      <w:proofErr w:type="spellStart"/>
      <w:r w:rsidRPr="00F44576">
        <w:rPr>
          <w:rFonts w:ascii="Times New Roman" w:hAnsi="Times New Roman" w:cs="Times New Roman"/>
          <w:sz w:val="24"/>
          <w:szCs w:val="24"/>
        </w:rPr>
        <w:t>langue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 xml:space="preserve"> jsou paradigmatické (paradigma je např. skloňování, časování)</w:t>
      </w:r>
    </w:p>
    <w:p w:rsidR="00416FC7" w:rsidRPr="00F44576" w:rsidRDefault="00416FC7" w:rsidP="00F44576">
      <w:pPr>
        <w:pStyle w:val="Odstavecseseznamem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vztahy na úrovni parole jsou syntagmatické (vztahy mezi dvěma jednotkami, které následují za sebou v promluvě, např. podmět a přísudek)</w:t>
      </w:r>
    </w:p>
    <w:p w:rsidR="00416FC7" w:rsidRPr="00F44576" w:rsidRDefault="00416FC7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FC7" w:rsidRDefault="00416FC7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F44576">
        <w:rPr>
          <w:rFonts w:ascii="Times New Roman" w:hAnsi="Times New Roman" w:cs="Times New Roman"/>
          <w:i/>
          <w:sz w:val="20"/>
          <w:szCs w:val="24"/>
        </w:rPr>
        <w:t>Přednášky z obecné jazykovědy</w:t>
      </w:r>
    </w:p>
    <w:p w:rsidR="002C3A0C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C3A0C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C3A0C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C3A0C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C3A0C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C3A0C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C3A0C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C3A0C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C3A0C" w:rsidRPr="00F44576" w:rsidRDefault="002C3A0C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416FC7" w:rsidRPr="00F44576" w:rsidRDefault="00416FC7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FC7" w:rsidRPr="00F44576" w:rsidRDefault="00F44576" w:rsidP="00F44576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F44576">
        <w:rPr>
          <w:rFonts w:ascii="Times New Roman" w:hAnsi="Times New Roman" w:cs="Times New Roman"/>
          <w:b/>
          <w:sz w:val="28"/>
          <w:szCs w:val="24"/>
        </w:rPr>
        <w:lastRenderedPageBreak/>
        <w:t>PARADIGMATICKÉ A SYNTAGMATICKÉ VZTAHY</w:t>
      </w:r>
    </w:p>
    <w:p w:rsidR="00F44576" w:rsidRPr="00F44576" w:rsidRDefault="00F44576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6799" w:rsidRDefault="00D123B7" w:rsidP="00F44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23B7">
        <w:rPr>
          <w:rFonts w:ascii="Times New Roman" w:hAnsi="Times New Roman" w:cs="Times New Roman"/>
          <w:b/>
          <w:sz w:val="24"/>
          <w:szCs w:val="24"/>
        </w:rPr>
        <w:t>S</w:t>
      </w:r>
      <w:r w:rsidR="00562CE8" w:rsidRPr="00D123B7">
        <w:rPr>
          <w:rFonts w:ascii="Times New Roman" w:hAnsi="Times New Roman" w:cs="Times New Roman"/>
          <w:b/>
          <w:sz w:val="24"/>
          <w:szCs w:val="24"/>
        </w:rPr>
        <w:t>yntagma</w:t>
      </w:r>
    </w:p>
    <w:p w:rsidR="00D123B7" w:rsidRPr="00D123B7" w:rsidRDefault="00D123B7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23B7">
        <w:rPr>
          <w:rFonts w:ascii="Times New Roman" w:hAnsi="Times New Roman" w:cs="Times New Roman"/>
          <w:sz w:val="24"/>
          <w:szCs w:val="24"/>
        </w:rPr>
        <w:t>= kombinace</w:t>
      </w:r>
      <w:r>
        <w:rPr>
          <w:rFonts w:ascii="Times New Roman" w:hAnsi="Times New Roman" w:cs="Times New Roman"/>
          <w:sz w:val="24"/>
          <w:szCs w:val="24"/>
        </w:rPr>
        <w:t xml:space="preserve"> minimálně dvou znaků založená na jejich kompatibilitě</w:t>
      </w:r>
    </w:p>
    <w:p w:rsidR="00FA7D98" w:rsidRPr="00F44576" w:rsidRDefault="00AF27FB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= soubor jazykových jednotek propojených syntagmatickými vztahy vzatý jako jeden celek</w:t>
      </w:r>
    </w:p>
    <w:p w:rsidR="00AF27FB" w:rsidRPr="00F44576" w:rsidRDefault="00AF27FB" w:rsidP="00F44576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tento celek lze postavit do paradigmatického vztahu vůči jiné jazykové jednotce (např. syntagmata usilovat a vyvinout úsilí se od sebe liší paradigmatem dokonavosti)</w:t>
      </w:r>
    </w:p>
    <w:p w:rsidR="00AF27FB" w:rsidRPr="00F44576" w:rsidRDefault="00FA7D98" w:rsidP="00F44576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lze ho zavést na různých úrovních popisu jazyka</w:t>
      </w:r>
    </w:p>
    <w:p w:rsidR="00FA7D98" w:rsidRPr="00F44576" w:rsidRDefault="00FA7D98" w:rsidP="00F44576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lexikum</w:t>
      </w:r>
    </w:p>
    <w:p w:rsidR="00FA7D98" w:rsidRPr="00F44576" w:rsidRDefault="00FA7D98" w:rsidP="00F44576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 xml:space="preserve">syntagma = každý výraz složený ze samostatných </w:t>
      </w:r>
      <w:proofErr w:type="spellStart"/>
      <w:r w:rsidRPr="00F44576">
        <w:rPr>
          <w:rFonts w:ascii="Times New Roman" w:hAnsi="Times New Roman" w:cs="Times New Roman"/>
          <w:sz w:val="24"/>
          <w:szCs w:val="24"/>
        </w:rPr>
        <w:t>pojmenovávacích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 xml:space="preserve"> jednotek, který lexikálně funguje jako jedna vnitřně nestrukturovaná </w:t>
      </w:r>
      <w:proofErr w:type="spellStart"/>
      <w:r w:rsidRPr="00F44576">
        <w:rPr>
          <w:rFonts w:ascii="Times New Roman" w:hAnsi="Times New Roman" w:cs="Times New Roman"/>
          <w:sz w:val="24"/>
          <w:szCs w:val="24"/>
        </w:rPr>
        <w:t>pojmenovávací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 xml:space="preserve"> jednotka, jako jediné plnovýznamové slovo (např. lexikální syntagma je španělská vesnice, ale ne složené pojmenování portugalská vesnice)</w:t>
      </w:r>
    </w:p>
    <w:p w:rsidR="00FA7D98" w:rsidRPr="00F44576" w:rsidRDefault="00FA7D98" w:rsidP="00F44576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 xml:space="preserve">morfematickým syntagmatem se může stát třeba celá věta (lze ji zabudovat do jiné věty třeba jako substantivum) </w:t>
      </w:r>
    </w:p>
    <w:p w:rsidR="00FA7D98" w:rsidRPr="00F44576" w:rsidRDefault="00FA7D98" w:rsidP="00F44576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závislostní syntax</w:t>
      </w:r>
    </w:p>
    <w:p w:rsidR="00FA7D98" w:rsidRPr="00F44576" w:rsidRDefault="00FA7D98" w:rsidP="00F44576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na úrovni větných členů jde o nejmenší syntaktickou vazbu (dva členy a syntaktický vztah mezi nimi)</w:t>
      </w:r>
    </w:p>
    <w:p w:rsidR="00726799" w:rsidRDefault="00726799" w:rsidP="00F44576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v tradiční syntaxi spojení slov ve větě, skladební dvojice</w:t>
      </w:r>
    </w:p>
    <w:p w:rsidR="00D123B7" w:rsidRDefault="00D123B7" w:rsidP="00D123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3B7" w:rsidRDefault="00D123B7" w:rsidP="00D123B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syntagma determinační – vyjadřuje závislost určovaného členu na členu řídícím</w:t>
      </w:r>
    </w:p>
    <w:p w:rsidR="00D123B7" w:rsidRDefault="00D123B7" w:rsidP="00D123B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syntagma predikační – spojuje se subjekt a predikát na základě vztahu přisouzení</w:t>
      </w:r>
    </w:p>
    <w:p w:rsidR="00D123B7" w:rsidRDefault="00D123B7" w:rsidP="00D123B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123B7" w:rsidRPr="002E625E" w:rsidRDefault="002E625E" w:rsidP="00D123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625E">
        <w:rPr>
          <w:rFonts w:ascii="Times New Roman" w:hAnsi="Times New Roman" w:cs="Times New Roman"/>
          <w:b/>
          <w:sz w:val="24"/>
          <w:szCs w:val="24"/>
        </w:rPr>
        <w:t>Syntagmatika</w:t>
      </w:r>
      <w:proofErr w:type="spellEnd"/>
    </w:p>
    <w:p w:rsidR="002E625E" w:rsidRDefault="002E625E" w:rsidP="00D123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nauka o syntagmatech a jejich vztazích</w:t>
      </w:r>
    </w:p>
    <w:p w:rsidR="002E625E" w:rsidRPr="00D123B7" w:rsidRDefault="002E625E" w:rsidP="00D123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souhrn syntagmat a jejich pravidel v daném jazyce, např. </w:t>
      </w:r>
      <w:proofErr w:type="spellStart"/>
      <w:r>
        <w:rPr>
          <w:rFonts w:ascii="Times New Roman" w:hAnsi="Times New Roman" w:cs="Times New Roman"/>
          <w:sz w:val="24"/>
          <w:szCs w:val="24"/>
        </w:rPr>
        <w:t>syntagmatika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fonémů, slovních druhů, vět apod.</w:t>
      </w:r>
    </w:p>
    <w:p w:rsidR="00726799" w:rsidRPr="00F44576" w:rsidRDefault="00726799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6799" w:rsidRPr="00D123B7" w:rsidRDefault="00D123B7" w:rsidP="00F44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23B7">
        <w:rPr>
          <w:rFonts w:ascii="Times New Roman" w:hAnsi="Times New Roman" w:cs="Times New Roman"/>
          <w:b/>
          <w:sz w:val="24"/>
          <w:szCs w:val="24"/>
        </w:rPr>
        <w:t>Paradigma</w:t>
      </w:r>
    </w:p>
    <w:p w:rsidR="00D123B7" w:rsidRPr="00F44576" w:rsidRDefault="00D123B7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systémová třída prvků libovolné roviny, založená na jejich společném rysu, jejíž členy mohou být v textu vzájemně </w:t>
      </w:r>
      <w:proofErr w:type="spellStart"/>
      <w:r>
        <w:rPr>
          <w:rFonts w:ascii="Times New Roman" w:hAnsi="Times New Roman" w:cs="Times New Roman"/>
          <w:sz w:val="24"/>
          <w:szCs w:val="24"/>
        </w:rPr>
        <w:t>substituovatelné</w:t>
      </w:r>
      <w:proofErr w:type="spellEnd"/>
    </w:p>
    <w:p w:rsidR="00726799" w:rsidRPr="00F44576" w:rsidRDefault="00726799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= soubor jazykových jednotek propojených paradigmatickými vztahy, na něž se pohlíží jako na varianty jediné jednotky</w:t>
      </w:r>
    </w:p>
    <w:p w:rsidR="00726799" w:rsidRPr="00F44576" w:rsidRDefault="00726799" w:rsidP="00F44576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 xml:space="preserve">syntagmatický kontext rozhoduje, co bude jednotícím rysem paradigmatu, vůči němuž budou jeho jednotliví členové vystupovat jako obměny (např. </w:t>
      </w:r>
      <w:r w:rsidR="00C00DD4" w:rsidRPr="00F44576">
        <w:rPr>
          <w:rFonts w:ascii="Times New Roman" w:hAnsi="Times New Roman" w:cs="Times New Roman"/>
          <w:sz w:val="24"/>
          <w:szCs w:val="24"/>
        </w:rPr>
        <w:t>výrazy doma, domů, jimiž se odpovídá na otázky kde? a kam?, patří do paradigmatu tvaroslovných odvozenin slovního kořene dom- v syntagmatickém kontextu slovních kořenů, nepatří ale do paradigmatu substantiva dům v syntagmatickém kontextu lexikálních jednotek)</w:t>
      </w:r>
    </w:p>
    <w:p w:rsidR="00C00DD4" w:rsidRPr="00F44576" w:rsidRDefault="00C00DD4" w:rsidP="00F44576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pracuje se s nimi nejčastěji na úrovni tvarosloví a slovotvorby</w:t>
      </w:r>
    </w:p>
    <w:p w:rsidR="00C00DD4" w:rsidRPr="00F44576" w:rsidRDefault="00C00DD4" w:rsidP="00F44576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rozlišuje se paradigma kategoriální (předepisuje funkce) a formální (nabízí inventář výrazů, které předepsané funkce obsluhují)</w:t>
      </w:r>
    </w:p>
    <w:p w:rsidR="00C00DD4" w:rsidRPr="00F44576" w:rsidRDefault="00C00DD4" w:rsidP="00F44576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 xml:space="preserve">na úrovni </w:t>
      </w:r>
      <w:proofErr w:type="spellStart"/>
      <w:r w:rsidRPr="00F44576">
        <w:rPr>
          <w:rFonts w:ascii="Times New Roman" w:hAnsi="Times New Roman" w:cs="Times New Roman"/>
          <w:sz w:val="24"/>
          <w:szCs w:val="24"/>
        </w:rPr>
        <w:t>větněčlenské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 xml:space="preserve"> můžeme např. v kontextu příslovečných určení paradigmaticky rozlišovat určení místa, času, způsobu</w:t>
      </w:r>
    </w:p>
    <w:p w:rsidR="00C00DD4" w:rsidRDefault="00C00DD4" w:rsidP="00F44576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lastRenderedPageBreak/>
        <w:t>školsky a zúženě je paradigma tabulka skloňování či časování, zvláště flexivních vzorů (morfologické paradigma = soubor tvarů ohebného slova představující systém jeho gramatických kategorií)</w:t>
      </w:r>
    </w:p>
    <w:p w:rsidR="00D123B7" w:rsidRPr="00F44576" w:rsidRDefault="00D123B7" w:rsidP="00F44576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např. paradigma flektivní, slovotvorné, lexikální</w:t>
      </w:r>
    </w:p>
    <w:p w:rsidR="00562CE8" w:rsidRDefault="00562CE8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23B7" w:rsidRPr="00D123B7" w:rsidRDefault="00D123B7" w:rsidP="00F44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23B7">
        <w:rPr>
          <w:rFonts w:ascii="Times New Roman" w:hAnsi="Times New Roman" w:cs="Times New Roman"/>
          <w:b/>
          <w:sz w:val="24"/>
          <w:szCs w:val="24"/>
        </w:rPr>
        <w:t>Paradigmatika</w:t>
      </w:r>
    </w:p>
    <w:p w:rsidR="00D123B7" w:rsidRDefault="00D123B7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nauka o paradigmatech, o paradigmatických vztazích</w:t>
      </w:r>
    </w:p>
    <w:p w:rsidR="00D123B7" w:rsidRDefault="00D123B7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souhrn paradigmat v daném jazyce, např. paradigmatika fonémů, morfémů, slovníku apod.</w:t>
      </w:r>
    </w:p>
    <w:p w:rsidR="00D123B7" w:rsidRPr="00F44576" w:rsidRDefault="00D123B7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25CD" w:rsidRPr="006153FC" w:rsidRDefault="00C825CD" w:rsidP="00F44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153FC">
        <w:rPr>
          <w:rFonts w:ascii="Times New Roman" w:hAnsi="Times New Roman" w:cs="Times New Roman"/>
          <w:b/>
          <w:sz w:val="24"/>
          <w:szCs w:val="24"/>
        </w:rPr>
        <w:t>Vztahy syntagmatické a paradigmatické</w:t>
      </w:r>
    </w:p>
    <w:p w:rsidR="00C825CD" w:rsidRPr="00F44576" w:rsidRDefault="00C825CD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= dva rozměry uspořádání jednotek, jimiž jazykověda popisuje jazyk</w:t>
      </w:r>
    </w:p>
    <w:p w:rsidR="00255899" w:rsidRPr="00F44576" w:rsidRDefault="00255899" w:rsidP="00F44576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vzájemně se podmiňují</w:t>
      </w:r>
    </w:p>
    <w:p w:rsidR="00255899" w:rsidRPr="00F44576" w:rsidRDefault="00255899" w:rsidP="00F44576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 xml:space="preserve">zapojení obou rozměrů je nezbytné pro </w:t>
      </w:r>
      <w:r w:rsidR="00B54265" w:rsidRPr="00F44576">
        <w:rPr>
          <w:rFonts w:ascii="Times New Roman" w:hAnsi="Times New Roman" w:cs="Times New Roman"/>
          <w:sz w:val="24"/>
          <w:szCs w:val="24"/>
        </w:rPr>
        <w:t>funkční vymezení jednotek jazykového popisu: paradigmatické vztahy odhalují diferenční povahu zkoumané jednotky, syntagmatické vztahy dokládají, zda daná diference závisí na okolních jednotkách</w:t>
      </w:r>
    </w:p>
    <w:p w:rsidR="00B54265" w:rsidRPr="00F44576" w:rsidRDefault="00B54265" w:rsidP="00F44576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pouze ta jazyková jednotka, jejíž paradigmatická proměna nezávisí na syntagmatickém okolí, může nést významotvornou funkci, a tak se zapojit do jazykového znaku</w:t>
      </w:r>
    </w:p>
    <w:p w:rsidR="00A42112" w:rsidRPr="00F44576" w:rsidRDefault="00A42112" w:rsidP="00F44576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44576">
        <w:rPr>
          <w:rFonts w:ascii="Times New Roman" w:hAnsi="Times New Roman" w:cs="Times New Roman"/>
          <w:sz w:val="24"/>
          <w:szCs w:val="24"/>
        </w:rPr>
        <w:t>syntagmatiku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 xml:space="preserve"> a pragmatiku lze zavést na nejrůznějších úrovních popisu jazyka, nejen v gramatice, ale též ve fonologii (např. neznělé ř a znělé ř jsou hlásky ve stejném paradigmatickém vztahu jako neznělé t a znělé d, ale jejich syntagmatické vztahy neumožňují vytvořit kontext, ve kterém by se mohlo vyskytnout jak neznělé, tak znělé ř (na rozdíl od ten X den, metu X medu)</w:t>
      </w:r>
    </w:p>
    <w:p w:rsidR="00255899" w:rsidRPr="00F44576" w:rsidRDefault="00255899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899" w:rsidRDefault="00255899" w:rsidP="00F44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23B7">
        <w:rPr>
          <w:rFonts w:ascii="Times New Roman" w:hAnsi="Times New Roman" w:cs="Times New Roman"/>
          <w:b/>
          <w:sz w:val="24"/>
          <w:szCs w:val="24"/>
        </w:rPr>
        <w:t>Syntagmatické vztahy</w:t>
      </w:r>
    </w:p>
    <w:p w:rsidR="002E625E" w:rsidRPr="002E625E" w:rsidRDefault="002E625E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lineární vztahy mezi jednotkami v rámci promluvy</w:t>
      </w:r>
    </w:p>
    <w:p w:rsidR="00255899" w:rsidRPr="00F44576" w:rsidRDefault="00255899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= vztahy jedné jednotky k jiným jednotkám</w:t>
      </w:r>
    </w:p>
    <w:p w:rsidR="00255899" w:rsidRPr="00F44576" w:rsidRDefault="00255899" w:rsidP="00F44576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předpokládají paradigmatiku v tom smyslu, že alespoň jeden člen syntagmatického vztahu se může proměnit, aniž se změní povaha vztahu</w:t>
      </w:r>
    </w:p>
    <w:p w:rsidR="00255899" w:rsidRPr="00F44576" w:rsidRDefault="00255899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899" w:rsidRPr="00F44576" w:rsidRDefault="00255899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899" w:rsidRPr="00D123B7" w:rsidRDefault="00255899" w:rsidP="00F44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23B7">
        <w:rPr>
          <w:rFonts w:ascii="Times New Roman" w:hAnsi="Times New Roman" w:cs="Times New Roman"/>
          <w:b/>
          <w:sz w:val="24"/>
          <w:szCs w:val="24"/>
        </w:rPr>
        <w:t>Paradigmatické vztahy</w:t>
      </w:r>
    </w:p>
    <w:p w:rsidR="00D123B7" w:rsidRPr="00F44576" w:rsidRDefault="00D123B7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vertikální vztahy mezi jednotkami jazyka</w:t>
      </w:r>
    </w:p>
    <w:p w:rsidR="00255899" w:rsidRPr="00F44576" w:rsidRDefault="00255899" w:rsidP="00F44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>= vztahy jednotky k jejím možným proměnám (k jejím alternativám ve stejné pozici)</w:t>
      </w:r>
    </w:p>
    <w:p w:rsidR="00255899" w:rsidRPr="00F44576" w:rsidRDefault="00255899" w:rsidP="00F44576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4576">
        <w:rPr>
          <w:rFonts w:ascii="Times New Roman" w:hAnsi="Times New Roman" w:cs="Times New Roman"/>
          <w:sz w:val="24"/>
          <w:szCs w:val="24"/>
        </w:rPr>
        <w:t xml:space="preserve">předpokládají </w:t>
      </w:r>
      <w:proofErr w:type="spellStart"/>
      <w:r w:rsidRPr="00F44576">
        <w:rPr>
          <w:rFonts w:ascii="Times New Roman" w:hAnsi="Times New Roman" w:cs="Times New Roman"/>
          <w:sz w:val="24"/>
          <w:szCs w:val="24"/>
        </w:rPr>
        <w:t>syntagmatiku</w:t>
      </w:r>
      <w:proofErr w:type="spellEnd"/>
      <w:r w:rsidRPr="00F44576">
        <w:rPr>
          <w:rFonts w:ascii="Times New Roman" w:hAnsi="Times New Roman" w:cs="Times New Roman"/>
          <w:sz w:val="24"/>
          <w:szCs w:val="24"/>
        </w:rPr>
        <w:t xml:space="preserve"> v tom smyslu, že jedině syntagmatické vztahy mohou jasně vymezit prostor, ve kterém se jednotka proměňuje a její jednotlivé obměny se porovnávají mezi sebou </w:t>
      </w:r>
    </w:p>
    <w:p w:rsidR="00EE39BE" w:rsidRPr="00F44576" w:rsidRDefault="00EE39BE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9BE" w:rsidRPr="00F44576" w:rsidRDefault="00EE39BE" w:rsidP="00F445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60E" w:rsidRDefault="0025460E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Zdroje:</w:t>
      </w:r>
    </w:p>
    <w:p w:rsidR="00EE39BE" w:rsidRPr="002E625E" w:rsidRDefault="00C61903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2E625E">
        <w:rPr>
          <w:rFonts w:ascii="Times New Roman" w:hAnsi="Times New Roman" w:cs="Times New Roman"/>
          <w:i/>
          <w:sz w:val="20"/>
          <w:szCs w:val="24"/>
        </w:rPr>
        <w:t xml:space="preserve">ESČ, s. </w:t>
      </w:r>
      <w:r w:rsidR="00726799" w:rsidRPr="002E625E">
        <w:rPr>
          <w:rFonts w:ascii="Times New Roman" w:hAnsi="Times New Roman" w:cs="Times New Roman"/>
          <w:i/>
          <w:sz w:val="20"/>
          <w:szCs w:val="24"/>
        </w:rPr>
        <w:t xml:space="preserve">308, 473, </w:t>
      </w:r>
      <w:r w:rsidRPr="002E625E">
        <w:rPr>
          <w:rFonts w:ascii="Times New Roman" w:hAnsi="Times New Roman" w:cs="Times New Roman"/>
          <w:i/>
          <w:sz w:val="20"/>
          <w:szCs w:val="24"/>
        </w:rPr>
        <w:t>551-552</w:t>
      </w:r>
    </w:p>
    <w:p w:rsidR="00D123B7" w:rsidRDefault="00D123B7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 w:rsidRPr="002E625E">
        <w:rPr>
          <w:rFonts w:ascii="Times New Roman" w:hAnsi="Times New Roman" w:cs="Times New Roman"/>
          <w:i/>
          <w:sz w:val="20"/>
          <w:szCs w:val="24"/>
        </w:rPr>
        <w:t>Lotko: Slovník lingvistických termínů pro filology, s. 85, 113-114</w:t>
      </w:r>
    </w:p>
    <w:p w:rsidR="0025460E" w:rsidRDefault="0025460E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p w:rsidR="0025460E" w:rsidRPr="009F4271" w:rsidRDefault="0025460E" w:rsidP="0025460E">
      <w:pPr>
        <w:spacing w:after="0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Vypracovala: Veronika Gajdošová</w:t>
      </w:r>
    </w:p>
    <w:p w:rsidR="0025460E" w:rsidRPr="002E625E" w:rsidRDefault="0025460E" w:rsidP="00F44576">
      <w:pPr>
        <w:spacing w:after="0"/>
        <w:rPr>
          <w:rFonts w:ascii="Times New Roman" w:hAnsi="Times New Roman" w:cs="Times New Roman"/>
          <w:i/>
          <w:sz w:val="20"/>
          <w:szCs w:val="24"/>
        </w:rPr>
      </w:pPr>
    </w:p>
    <w:sectPr w:rsidR="0025460E" w:rsidRPr="002E625E" w:rsidSect="00E36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ti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s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48DF"/>
    <w:multiLevelType w:val="hybridMultilevel"/>
    <w:tmpl w:val="35F8EA74"/>
    <w:lvl w:ilvl="0" w:tplc="944CA2C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D421A"/>
    <w:multiLevelType w:val="hybridMultilevel"/>
    <w:tmpl w:val="FAFA13BA"/>
    <w:lvl w:ilvl="0" w:tplc="D3F86AC2">
      <w:start w:val="1"/>
      <w:numFmt w:val="lowerLetter"/>
      <w:lvlText w:val="%1)"/>
      <w:lvlJc w:val="left"/>
      <w:pPr>
        <w:ind w:left="720" w:hanging="360"/>
      </w:pPr>
      <w:rPr>
        <w:rFonts w:ascii="csti12" w:hAnsi="csti12" w:cs="csti12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936D6"/>
    <w:multiLevelType w:val="hybridMultilevel"/>
    <w:tmpl w:val="851881AE"/>
    <w:lvl w:ilvl="0" w:tplc="DC5435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C3A20"/>
    <w:multiLevelType w:val="hybridMultilevel"/>
    <w:tmpl w:val="988C9E5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9C1011"/>
    <w:multiLevelType w:val="hybridMultilevel"/>
    <w:tmpl w:val="A0C403AE"/>
    <w:lvl w:ilvl="0" w:tplc="C23605F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12C3A"/>
    <w:multiLevelType w:val="hybridMultilevel"/>
    <w:tmpl w:val="1D96443C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>
    <w:nsid w:val="3DCA2E6A"/>
    <w:multiLevelType w:val="hybridMultilevel"/>
    <w:tmpl w:val="8EBAF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E2686"/>
    <w:multiLevelType w:val="hybridMultilevel"/>
    <w:tmpl w:val="90F0B99E"/>
    <w:lvl w:ilvl="0" w:tplc="0F08E158">
      <w:start w:val="1"/>
      <w:numFmt w:val="lowerLetter"/>
      <w:lvlText w:val="%1)"/>
      <w:lvlJc w:val="left"/>
      <w:pPr>
        <w:ind w:left="1080" w:hanging="360"/>
      </w:pPr>
      <w:rPr>
        <w:rFonts w:ascii="csr12" w:hAnsi="csr12" w:cs="csr12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5C4F03"/>
    <w:multiLevelType w:val="hybridMultilevel"/>
    <w:tmpl w:val="7526C772"/>
    <w:lvl w:ilvl="0" w:tplc="E11CA36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D75AFD"/>
    <w:multiLevelType w:val="hybridMultilevel"/>
    <w:tmpl w:val="D3B2CC74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73194797"/>
    <w:multiLevelType w:val="hybridMultilevel"/>
    <w:tmpl w:val="096E2FC0"/>
    <w:lvl w:ilvl="0" w:tplc="07F6DE8A">
      <w:start w:val="2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8"/>
  </w:num>
  <w:num w:numId="8">
    <w:abstractNumId w:val="10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E39BE"/>
    <w:rsid w:val="0025460E"/>
    <w:rsid w:val="00255899"/>
    <w:rsid w:val="002B6129"/>
    <w:rsid w:val="002C3A0C"/>
    <w:rsid w:val="002E625E"/>
    <w:rsid w:val="00401D97"/>
    <w:rsid w:val="00416FC7"/>
    <w:rsid w:val="005429AD"/>
    <w:rsid w:val="00546F46"/>
    <w:rsid w:val="00562CE8"/>
    <w:rsid w:val="006153FC"/>
    <w:rsid w:val="006A4C70"/>
    <w:rsid w:val="00726799"/>
    <w:rsid w:val="007742BB"/>
    <w:rsid w:val="007909FE"/>
    <w:rsid w:val="00A42112"/>
    <w:rsid w:val="00AF27FB"/>
    <w:rsid w:val="00B54265"/>
    <w:rsid w:val="00C00DD4"/>
    <w:rsid w:val="00C61903"/>
    <w:rsid w:val="00C825CD"/>
    <w:rsid w:val="00D123B7"/>
    <w:rsid w:val="00D304B1"/>
    <w:rsid w:val="00E36883"/>
    <w:rsid w:val="00EE39BE"/>
    <w:rsid w:val="00F31260"/>
    <w:rsid w:val="00F44576"/>
    <w:rsid w:val="00FA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8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558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49F5F9-0B5A-4177-AB70-E8352F07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847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6</cp:revision>
  <dcterms:created xsi:type="dcterms:W3CDTF">2013-03-22T20:16:00Z</dcterms:created>
  <dcterms:modified xsi:type="dcterms:W3CDTF">2013-04-27T08:44:00Z</dcterms:modified>
</cp:coreProperties>
</file>